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185535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185535" w:rsidRDefault="0018553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185535" w:rsidRDefault="00157BAA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185535" w:rsidRDefault="00157BAA">
            <w:r>
              <w:rPr>
                <w:sz w:val="20"/>
                <w:szCs w:val="20"/>
              </w:rPr>
              <w:t>Информационно-поисковая система ”ЭТАЛОН-ONLINE“, 06.01.2026  Национальный центр законодательства и правовой информации Республики Беларусь</w:t>
            </w:r>
          </w:p>
        </w:tc>
      </w:tr>
    </w:tbl>
    <w:p w:rsidR="00185535" w:rsidRDefault="00185535"/>
    <w:p w:rsidR="00185535" w:rsidRDefault="00157BAA">
      <w:pPr>
        <w:spacing w:after="60"/>
        <w:jc w:val="center"/>
      </w:pPr>
      <w:r>
        <w:rPr>
          <w:caps/>
        </w:rPr>
        <w:t>РЕШЕНИЕ МОГИЛЕВСКОГО ГОРОДСКОГО ИСПОЛНИТЕЛЬНОГО КОМИТЕТА</w:t>
      </w:r>
    </w:p>
    <w:p w:rsidR="00185535" w:rsidRDefault="00157BAA">
      <w:pPr>
        <w:spacing w:after="60"/>
        <w:jc w:val="center"/>
      </w:pPr>
      <w:r>
        <w:t xml:space="preserve">20 декабря 2025 г. </w:t>
      </w:r>
      <w:r>
        <w:t>№ 25-37</w:t>
      </w:r>
    </w:p>
    <w:p w:rsidR="00185535" w:rsidRDefault="00157BAA">
      <w:pPr>
        <w:spacing w:before="240" w:after="240"/>
      </w:pPr>
      <w:r>
        <w:rPr>
          <w:b/>
          <w:bCs/>
          <w:sz w:val="28"/>
          <w:szCs w:val="28"/>
        </w:rPr>
        <w:t>Об изменении решения Могилевского городского исполнительного комитета от 1 декабря 2023 г. № 26-32</w:t>
      </w:r>
    </w:p>
    <w:p w:rsidR="00185535" w:rsidRDefault="00157BAA">
      <w:pPr>
        <w:spacing w:after="60"/>
        <w:ind w:firstLine="566"/>
        <w:jc w:val="both"/>
      </w:pPr>
      <w:r>
        <w:t>На основании подпункта 4.1 пункта 4 статьи 210 Кодекса Республики Беларусь о культуре Могилевский городской исполнительный комитет РЕШИЛ:</w:t>
      </w:r>
    </w:p>
    <w:p w:rsidR="00185535" w:rsidRDefault="00157BAA">
      <w:pPr>
        <w:spacing w:after="60"/>
        <w:ind w:firstLine="566"/>
        <w:jc w:val="both"/>
      </w:pPr>
      <w:r>
        <w:t>1. Инструкц</w:t>
      </w:r>
      <w:r>
        <w:t>ию о порядке проведения ежегодного городского конкурса на лучшее новогоднее оформление города Могилева, утвержденную решением Могилевского городского исполнительного комитета от 1 декабря 2023 г. № 26-32, изложить в новой редакции (прилагается).</w:t>
      </w:r>
    </w:p>
    <w:p w:rsidR="00185535" w:rsidRDefault="00157BAA">
      <w:pPr>
        <w:spacing w:after="60"/>
        <w:ind w:firstLine="566"/>
        <w:jc w:val="both"/>
      </w:pPr>
      <w:r>
        <w:t>2. Настоящ</w:t>
      </w:r>
      <w:r>
        <w:t>ее решение вступает в силу после его официального опубликования.</w:t>
      </w:r>
    </w:p>
    <w:p w:rsidR="00185535" w:rsidRDefault="00157BAA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4829"/>
        <w:gridCol w:w="4830"/>
      </w:tblGrid>
      <w:tr w:rsidR="00185535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185535" w:rsidRDefault="00157BAA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2500" w:type="pct"/>
            <w:vMerge w:val="restart"/>
            <w:vAlign w:val="bottom"/>
          </w:tcPr>
          <w:p w:rsidR="00185535" w:rsidRDefault="00157BAA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С.В.Чертков</w:t>
            </w:r>
          </w:p>
        </w:tc>
      </w:tr>
    </w:tbl>
    <w:p w:rsidR="00185535" w:rsidRDefault="00157BAA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6879"/>
        <w:gridCol w:w="2780"/>
      </w:tblGrid>
      <w:tr w:rsidR="00185535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561" w:type="pct"/>
            <w:vMerge w:val="restart"/>
          </w:tcPr>
          <w:p w:rsidR="00185535" w:rsidRDefault="00157BAA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9" w:type="pct"/>
            <w:vMerge w:val="restart"/>
          </w:tcPr>
          <w:p w:rsidR="00185535" w:rsidRDefault="00157BAA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185535" w:rsidRDefault="00157BAA">
            <w:pPr>
              <w:spacing w:after="60"/>
            </w:pPr>
            <w:r>
              <w:rPr>
                <w:sz w:val="22"/>
                <w:szCs w:val="22"/>
              </w:rPr>
              <w:t>Решение</w:t>
            </w:r>
            <w:r>
              <w:br/>
            </w:r>
            <w:r>
              <w:rPr>
                <w:sz w:val="22"/>
                <w:szCs w:val="22"/>
              </w:rPr>
              <w:t>Могилевского городского</w:t>
            </w:r>
            <w:r>
              <w:br/>
            </w:r>
            <w:r>
              <w:rPr>
                <w:sz w:val="22"/>
                <w:szCs w:val="22"/>
              </w:rPr>
              <w:t>исполнительного комитета</w:t>
            </w:r>
            <w:r>
              <w:br/>
            </w:r>
            <w:r>
              <w:rPr>
                <w:sz w:val="22"/>
                <w:szCs w:val="22"/>
              </w:rPr>
              <w:t>01.12.2023 № 26-32</w:t>
            </w:r>
            <w:r>
              <w:br/>
            </w:r>
            <w:r>
              <w:rPr>
                <w:sz w:val="22"/>
                <w:szCs w:val="22"/>
              </w:rPr>
              <w:t>(в редакции решения</w:t>
            </w:r>
            <w:r>
              <w:br/>
            </w:r>
            <w:r>
              <w:rPr>
                <w:sz w:val="22"/>
                <w:szCs w:val="22"/>
              </w:rPr>
              <w:t>Могилевского городского</w:t>
            </w:r>
            <w:r>
              <w:br/>
            </w:r>
            <w:r>
              <w:rPr>
                <w:sz w:val="22"/>
                <w:szCs w:val="22"/>
              </w:rPr>
              <w:t>исполнительного комитета</w:t>
            </w:r>
            <w:r>
              <w:br/>
            </w:r>
            <w:r>
              <w:rPr>
                <w:sz w:val="22"/>
                <w:szCs w:val="22"/>
              </w:rPr>
              <w:t>20.12.2025 № 25-37)</w:t>
            </w:r>
          </w:p>
        </w:tc>
      </w:tr>
    </w:tbl>
    <w:p w:rsidR="00185535" w:rsidRDefault="00157BAA">
      <w:pPr>
        <w:spacing w:before="240" w:after="240"/>
      </w:pPr>
      <w:r>
        <w:rPr>
          <w:b/>
          <w:bCs/>
        </w:rPr>
        <w:t>ИНСТРУКЦИЯ</w:t>
      </w:r>
      <w:r>
        <w:br/>
      </w:r>
      <w:r>
        <w:rPr>
          <w:b/>
          <w:bCs/>
        </w:rPr>
        <w:t>о порядке проведения ежегодного городского конкурса на лучшее новогоднее оформление города Могилева</w:t>
      </w:r>
    </w:p>
    <w:p w:rsidR="00185535" w:rsidRDefault="00157BAA">
      <w:pPr>
        <w:spacing w:after="60"/>
        <w:ind w:firstLine="566"/>
        <w:jc w:val="both"/>
      </w:pPr>
      <w:r>
        <w:t>1. Настоящей Инструкцией устанавливается порядок проведения ежегодного городского конкурса на лучшее новогоднее оформление города Могилева (далее – городской конкурс) среди организаций и (или) их структурных подразделений (далее – организации)*, расположен</w:t>
      </w:r>
      <w:r>
        <w:t>ных на территории города Могилева.</w:t>
      </w:r>
    </w:p>
    <w:p w:rsidR="00185535" w:rsidRDefault="00157BA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5535" w:rsidRDefault="00157BAA">
      <w:pPr>
        <w:spacing w:after="240"/>
        <w:ind w:firstLine="566"/>
        <w:jc w:val="both"/>
      </w:pPr>
      <w:r>
        <w:rPr>
          <w:sz w:val="20"/>
          <w:szCs w:val="20"/>
        </w:rPr>
        <w:t>* Для целей настоящей Инструкции под организациями понимаются промышленные предприятия, предприятия торговли и услуг, предприятия жилищно-коммунального хозяйства, предприятия транспорта и св</w:t>
      </w:r>
      <w:r>
        <w:rPr>
          <w:sz w:val="20"/>
          <w:szCs w:val="20"/>
        </w:rPr>
        <w:t xml:space="preserve">язи, учреждения культуры, образования в сфере культуры, здравоохранения, образования, физической </w:t>
      </w:r>
      <w:r>
        <w:rPr>
          <w:sz w:val="20"/>
          <w:szCs w:val="20"/>
        </w:rPr>
        <w:lastRenderedPageBreak/>
        <w:t>культуры, спорта и туризма и (или) их структурные подразделения, расположенные на территории города Могилева, независимо от организационно-правовой формы и фор</w:t>
      </w:r>
      <w:r>
        <w:rPr>
          <w:sz w:val="20"/>
          <w:szCs w:val="20"/>
        </w:rPr>
        <w:t>мы собственности.</w:t>
      </w:r>
    </w:p>
    <w:p w:rsidR="00185535" w:rsidRDefault="00157BAA">
      <w:pPr>
        <w:spacing w:after="60"/>
        <w:ind w:firstLine="566"/>
        <w:jc w:val="both"/>
      </w:pPr>
      <w:r>
        <w:t>2. Организатором городского конкурса является Могилевский городской исполнительный комитет (далее – горисполком).</w:t>
      </w:r>
    </w:p>
    <w:p w:rsidR="00185535" w:rsidRDefault="00157BAA">
      <w:pPr>
        <w:spacing w:after="60"/>
        <w:ind w:firstLine="566"/>
        <w:jc w:val="both"/>
      </w:pPr>
      <w:r>
        <w:t>3. Городской конкурс проводится среди организаций по группам:</w:t>
      </w:r>
    </w:p>
    <w:p w:rsidR="00185535" w:rsidRDefault="00157BAA">
      <w:pPr>
        <w:spacing w:after="60"/>
        <w:ind w:firstLine="566"/>
        <w:jc w:val="both"/>
      </w:pPr>
      <w:r>
        <w:t>промышленные;</w:t>
      </w:r>
    </w:p>
    <w:p w:rsidR="00185535" w:rsidRDefault="00157BAA">
      <w:pPr>
        <w:spacing w:after="60"/>
        <w:ind w:firstLine="566"/>
        <w:jc w:val="both"/>
      </w:pPr>
      <w:r>
        <w:t>торговли и общественного питания;</w:t>
      </w:r>
    </w:p>
    <w:p w:rsidR="00185535" w:rsidRDefault="00157BAA">
      <w:pPr>
        <w:spacing w:after="60"/>
        <w:ind w:firstLine="566"/>
        <w:jc w:val="both"/>
      </w:pPr>
      <w:r>
        <w:t>жилищно-коммун</w:t>
      </w:r>
      <w:r>
        <w:t>ального хозяйства;</w:t>
      </w:r>
    </w:p>
    <w:p w:rsidR="00185535" w:rsidRDefault="00157BAA">
      <w:pPr>
        <w:spacing w:after="60"/>
        <w:ind w:firstLine="566"/>
        <w:jc w:val="both"/>
      </w:pPr>
      <w:r>
        <w:t>транспорта, связи;</w:t>
      </w:r>
    </w:p>
    <w:p w:rsidR="00185535" w:rsidRDefault="00157BAA">
      <w:pPr>
        <w:spacing w:after="60"/>
        <w:ind w:firstLine="566"/>
        <w:jc w:val="both"/>
      </w:pPr>
      <w:r>
        <w:t>социальной сферы.</w:t>
      </w:r>
    </w:p>
    <w:p w:rsidR="00185535" w:rsidRDefault="00157BAA">
      <w:pPr>
        <w:spacing w:after="60"/>
        <w:ind w:firstLine="566"/>
        <w:jc w:val="both"/>
      </w:pPr>
      <w:r>
        <w:t>4. Городской конкурс проводится ежегодно с 30 декабря по 20 января.</w:t>
      </w:r>
    </w:p>
    <w:p w:rsidR="00185535" w:rsidRDefault="00157BAA">
      <w:pPr>
        <w:spacing w:after="60"/>
        <w:ind w:firstLine="566"/>
        <w:jc w:val="both"/>
      </w:pPr>
      <w:r>
        <w:t>Определение победителей по группам осуществляется отраслевыми структурными подразделениями горисполкома, в отношении групп:</w:t>
      </w:r>
    </w:p>
    <w:p w:rsidR="00185535" w:rsidRDefault="00157BAA">
      <w:pPr>
        <w:spacing w:after="60"/>
        <w:ind w:firstLine="566"/>
        <w:jc w:val="both"/>
      </w:pPr>
      <w:r>
        <w:t>промышле</w:t>
      </w:r>
      <w:r>
        <w:t>нные – управлением экономики горисполкома;</w:t>
      </w:r>
    </w:p>
    <w:p w:rsidR="00185535" w:rsidRDefault="00157BAA">
      <w:pPr>
        <w:spacing w:after="60"/>
        <w:ind w:firstLine="566"/>
        <w:jc w:val="both"/>
      </w:pPr>
      <w:r>
        <w:t>торговли и общественного питания – управлением торговли и услуг горисполкома;</w:t>
      </w:r>
    </w:p>
    <w:p w:rsidR="00185535" w:rsidRDefault="00157BAA">
      <w:pPr>
        <w:spacing w:after="60"/>
        <w:ind w:firstLine="566"/>
        <w:jc w:val="both"/>
      </w:pPr>
      <w:r>
        <w:t>жилищно-коммунального хозяйства, транспорта, связи – управлением жилищно-коммунального хозяйства горисполкома;</w:t>
      </w:r>
    </w:p>
    <w:p w:rsidR="00185535" w:rsidRDefault="00157BAA">
      <w:pPr>
        <w:spacing w:after="60"/>
        <w:ind w:firstLine="566"/>
        <w:jc w:val="both"/>
      </w:pPr>
      <w:r>
        <w:t>социальной сферы – управлением по образованию горисполкома, управлением культуры горисполкома, отделом спорта и туризма горисполкома, учреждением здравоохранения «Могилевская центральная поликлиника».</w:t>
      </w:r>
    </w:p>
    <w:p w:rsidR="00185535" w:rsidRDefault="00157BAA">
      <w:pPr>
        <w:spacing w:after="60"/>
        <w:ind w:firstLine="566"/>
        <w:jc w:val="both"/>
      </w:pPr>
      <w:r>
        <w:t>Сведения о победителях, согласованные с заместителем пр</w:t>
      </w:r>
      <w:r>
        <w:t>едседателя горисполкома по направлению деятельности, представляются в управление архитектуры и градостроительства горисполкома до 20 января.</w:t>
      </w:r>
    </w:p>
    <w:p w:rsidR="00185535" w:rsidRDefault="00157BAA">
      <w:pPr>
        <w:spacing w:after="60"/>
        <w:ind w:firstLine="566"/>
        <w:jc w:val="both"/>
      </w:pPr>
      <w:r>
        <w:t>5. При подведении итогов городского конкурса учитываются следующие критерии:</w:t>
      </w:r>
    </w:p>
    <w:p w:rsidR="00185535" w:rsidRDefault="00157BAA">
      <w:pPr>
        <w:spacing w:after="60"/>
        <w:ind w:firstLine="566"/>
        <w:jc w:val="both"/>
      </w:pPr>
      <w:r>
        <w:t>комплексное художественное решение нов</w:t>
      </w:r>
      <w:r>
        <w:t>огоднего оформления фасадов зданий, входных групп, дверей, окон, витрин, рекламных вывесок, существующего озеленения и малых архитектурных форм (далее – новогоднее оформление);</w:t>
      </w:r>
    </w:p>
    <w:p w:rsidR="00185535" w:rsidRDefault="00157BAA">
      <w:pPr>
        <w:spacing w:after="60"/>
        <w:ind w:firstLine="566"/>
        <w:jc w:val="both"/>
      </w:pPr>
      <w:r>
        <w:t>использование нестандартных технических решений в новогоднем оформлении;</w:t>
      </w:r>
    </w:p>
    <w:p w:rsidR="00185535" w:rsidRDefault="00157BAA">
      <w:pPr>
        <w:spacing w:after="60"/>
        <w:ind w:firstLine="566"/>
        <w:jc w:val="both"/>
      </w:pPr>
      <w:r>
        <w:t>количе</w:t>
      </w:r>
      <w:r>
        <w:t>ство и качество современных световых и декоративных элементов, надувных и анимационных фигур на новогоднюю тематику.</w:t>
      </w:r>
    </w:p>
    <w:p w:rsidR="00185535" w:rsidRDefault="00157BAA">
      <w:pPr>
        <w:spacing w:after="60"/>
        <w:ind w:firstLine="566"/>
        <w:jc w:val="both"/>
      </w:pPr>
      <w:r>
        <w:t>Оценка каждого из критериев, указанных в части первой настоящего пункта, осуществляется по пятибалльной системе.</w:t>
      </w:r>
    </w:p>
    <w:p w:rsidR="00185535" w:rsidRDefault="00157BAA">
      <w:pPr>
        <w:spacing w:after="60"/>
        <w:ind w:firstLine="566"/>
        <w:jc w:val="both"/>
      </w:pPr>
      <w:r>
        <w:t>Участники городского конку</w:t>
      </w:r>
      <w:r>
        <w:t>рса, занявшие 1-е, 2-е, 3-е места в каждой группе, награждаются:</w:t>
      </w:r>
    </w:p>
    <w:p w:rsidR="00185535" w:rsidRDefault="00157BAA">
      <w:pPr>
        <w:spacing w:after="60"/>
        <w:ind w:firstLine="566"/>
        <w:jc w:val="both"/>
      </w:pPr>
      <w:r>
        <w:t>1-е место – кубками, дипломами в рамках, цветочными композициями и выплатой денежного вознаграждения в размере 15 базовых величин, установленных актами законодательства на дату принятия решен</w:t>
      </w:r>
      <w:r>
        <w:t>ия о подведении итогов городского конкурса;</w:t>
      </w:r>
    </w:p>
    <w:p w:rsidR="00185535" w:rsidRDefault="00157BAA">
      <w:pPr>
        <w:spacing w:after="60"/>
        <w:ind w:firstLine="566"/>
        <w:jc w:val="both"/>
      </w:pPr>
      <w:r>
        <w:t>2-е место – кубками, дипломами в рамках, цветочными композициями;</w:t>
      </w:r>
    </w:p>
    <w:p w:rsidR="00185535" w:rsidRDefault="00157BAA">
      <w:pPr>
        <w:spacing w:after="60"/>
        <w:ind w:firstLine="566"/>
        <w:jc w:val="both"/>
      </w:pPr>
      <w:r>
        <w:t>3-е место – кубками, дипломами в рамках, цветочными композициями.</w:t>
      </w:r>
    </w:p>
    <w:p w:rsidR="00185535" w:rsidRDefault="00157BAA">
      <w:pPr>
        <w:spacing w:after="60"/>
        <w:ind w:firstLine="566"/>
        <w:jc w:val="both"/>
      </w:pPr>
      <w:r>
        <w:lastRenderedPageBreak/>
        <w:t>6. Формирование состава участников городского конкурса производится по заявкам п</w:t>
      </w:r>
      <w:r>
        <w:t>о форме согласно приложению, которые направляются до 30 декабря в отраслевые структурные подразделения горисполкома в электронном виде на адрес электронной почты:</w:t>
      </w:r>
    </w:p>
    <w:p w:rsidR="00185535" w:rsidRDefault="00157BAA">
      <w:pPr>
        <w:spacing w:after="60"/>
        <w:ind w:firstLine="566"/>
        <w:jc w:val="both"/>
      </w:pPr>
      <w:r>
        <w:t>управления экономики горисполкома: econom04@mogilev.gov.by;</w:t>
      </w:r>
    </w:p>
    <w:p w:rsidR="00185535" w:rsidRDefault="00157BAA">
      <w:pPr>
        <w:spacing w:after="60"/>
        <w:ind w:firstLine="566"/>
        <w:jc w:val="both"/>
      </w:pPr>
      <w:r>
        <w:t>управления торговли и услуг горис</w:t>
      </w:r>
      <w:r>
        <w:t>полкома: torg@mogilev.gov.by;</w:t>
      </w:r>
    </w:p>
    <w:p w:rsidR="00185535" w:rsidRDefault="00157BAA">
      <w:pPr>
        <w:spacing w:after="60"/>
        <w:ind w:firstLine="566"/>
        <w:jc w:val="both"/>
      </w:pPr>
      <w:r>
        <w:t>управления жилищно-коммунального хозяйства горисполкома: gkh@mogilev.gov.by;</w:t>
      </w:r>
    </w:p>
    <w:p w:rsidR="00185535" w:rsidRDefault="00157BAA">
      <w:pPr>
        <w:spacing w:after="60"/>
        <w:ind w:firstLine="566"/>
        <w:jc w:val="both"/>
      </w:pPr>
      <w:r>
        <w:t>управления по образованию горисполкома: edu@mogilev.gov.by;</w:t>
      </w:r>
    </w:p>
    <w:p w:rsidR="00185535" w:rsidRDefault="00157BAA">
      <w:pPr>
        <w:spacing w:after="60"/>
        <w:ind w:firstLine="566"/>
        <w:jc w:val="both"/>
      </w:pPr>
      <w:r>
        <w:t>управления культуры горисполкома: culture@mogilev.gov.by;</w:t>
      </w:r>
    </w:p>
    <w:p w:rsidR="00185535" w:rsidRDefault="00157BAA">
      <w:pPr>
        <w:spacing w:after="60"/>
        <w:ind w:firstLine="566"/>
        <w:jc w:val="both"/>
      </w:pPr>
      <w:r>
        <w:t>отдела спорта и туризма гориспо</w:t>
      </w:r>
      <w:r>
        <w:t>лкома: sport@mogilev.gov.by;</w:t>
      </w:r>
    </w:p>
    <w:p w:rsidR="00185535" w:rsidRDefault="00157BAA">
      <w:pPr>
        <w:spacing w:after="60"/>
        <w:ind w:firstLine="566"/>
        <w:jc w:val="both"/>
      </w:pPr>
      <w:r>
        <w:t>учреждения здравоохранения «Могилевская центральная поликлиника»: mcp@mogilev.by.</w:t>
      </w:r>
    </w:p>
    <w:p w:rsidR="00185535" w:rsidRDefault="00157BAA">
      <w:pPr>
        <w:spacing w:after="60"/>
        <w:ind w:firstLine="566"/>
        <w:jc w:val="both"/>
      </w:pPr>
      <w:r>
        <w:t>7. Управление архитектуры и градостроительства горисполкома готовит проект решения об итогах городского конкурса и вносит на рассмотрение гориспо</w:t>
      </w:r>
      <w:r>
        <w:t>лкома.</w:t>
      </w:r>
    </w:p>
    <w:p w:rsidR="00185535" w:rsidRDefault="00157BAA">
      <w:pPr>
        <w:spacing w:after="60"/>
        <w:ind w:firstLine="566"/>
        <w:jc w:val="both"/>
      </w:pPr>
      <w:r>
        <w:t>8. Финансовые расходы по новогоднему оформлению осуществляют организации, принимающие участие в городском конкурсе.</w:t>
      </w:r>
    </w:p>
    <w:p w:rsidR="00185535" w:rsidRDefault="00157BAA">
      <w:pPr>
        <w:spacing w:after="60"/>
        <w:ind w:firstLine="566"/>
        <w:jc w:val="both"/>
      </w:pPr>
      <w:r>
        <w:t>Выплата денежных вознаграждений участникам городского конкурса, занявшим 1-е места, приобретение кубков, дипломов, рамок, цветочных к</w:t>
      </w:r>
      <w:r>
        <w:t>омпозиций участникам городского конкурса, занявшим 1-е, 2-е, 3-е места, расходы, связанные с организацией и проведением городского конкурса, производятся за счет средств, предусмотренных в бюджете города Могилева на проведение мероприятий горисполкома.</w:t>
      </w:r>
    </w:p>
    <w:p w:rsidR="00185535" w:rsidRDefault="00157BAA">
      <w:pPr>
        <w:spacing w:after="60"/>
        <w:ind w:firstLine="566"/>
        <w:jc w:val="both"/>
      </w:pPr>
      <w:r>
        <w:t>9. </w:t>
      </w:r>
      <w:r>
        <w:t>Отдел идеологической работы и по делам молодежи горисполкома размещает в средствах массовой информации города Могилева информацию о начале проведения (до 1 декабря) и итогах городского конкурса.</w:t>
      </w:r>
    </w:p>
    <w:p w:rsidR="00185535" w:rsidRDefault="00157BAA">
      <w:pPr>
        <w:spacing w:after="60"/>
        <w:ind w:firstLine="566"/>
        <w:jc w:val="both"/>
      </w:pPr>
      <w:r>
        <w:t xml:space="preserve">10. Награждение победителей городского конкурса проводится в </w:t>
      </w:r>
      <w:r>
        <w:t>торжественной обстановке.</w:t>
      </w:r>
    </w:p>
    <w:p w:rsidR="00185535" w:rsidRDefault="00157BAA">
      <w:pPr>
        <w:spacing w:after="60"/>
        <w:ind w:firstLine="566"/>
        <w:jc w:val="both"/>
      </w:pPr>
      <w:r>
        <w:t>11. Участники конкурса производят демонтаж новогоднего оформления с 20 по 25 января.</w:t>
      </w:r>
    </w:p>
    <w:p w:rsidR="00185535" w:rsidRDefault="00185535"/>
    <w:p w:rsidR="00185535" w:rsidRDefault="00157BAA">
      <w:pPr>
        <w:spacing w:after="60"/>
        <w:ind w:firstLine="566"/>
        <w:jc w:val="both"/>
      </w:pPr>
      <w:r>
        <w:t> </w:t>
      </w:r>
    </w:p>
    <w:p w:rsidR="00157BAA" w:rsidRDefault="00157BAA">
      <w:r>
        <w:br w:type="page"/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6139"/>
        <w:gridCol w:w="3520"/>
      </w:tblGrid>
      <w:tr w:rsidR="00185535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178" w:type="pct"/>
            <w:vMerge w:val="restart"/>
          </w:tcPr>
          <w:p w:rsidR="00185535" w:rsidRDefault="00157BAA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822" w:type="pct"/>
            <w:vMerge w:val="restart"/>
          </w:tcPr>
          <w:p w:rsidR="00185535" w:rsidRDefault="00157BAA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:rsidR="00185535" w:rsidRDefault="00157BAA">
            <w:pPr>
              <w:spacing w:after="60"/>
            </w:pPr>
            <w:r>
              <w:rPr>
                <w:sz w:val="22"/>
                <w:szCs w:val="22"/>
              </w:rPr>
              <w:t>к Инструкции о порядке</w:t>
            </w:r>
            <w:r>
              <w:br/>
            </w:r>
            <w:r>
              <w:rPr>
                <w:sz w:val="22"/>
                <w:szCs w:val="22"/>
              </w:rPr>
              <w:t>проведения ежегодного городского</w:t>
            </w:r>
            <w:r>
              <w:br/>
            </w:r>
            <w:r>
              <w:rPr>
                <w:sz w:val="22"/>
                <w:szCs w:val="22"/>
              </w:rPr>
              <w:t>конкурса на лучшее новогоднее</w:t>
            </w:r>
            <w:r>
              <w:br/>
            </w:r>
            <w:r>
              <w:rPr>
                <w:sz w:val="22"/>
                <w:szCs w:val="22"/>
              </w:rPr>
              <w:t>оформление города Могилева</w:t>
            </w:r>
          </w:p>
        </w:tc>
      </w:tr>
    </w:tbl>
    <w:p w:rsidR="00185535" w:rsidRDefault="00157BAA">
      <w:pPr>
        <w:spacing w:after="60"/>
        <w:ind w:firstLine="566"/>
        <w:jc w:val="both"/>
      </w:pPr>
      <w:r>
        <w:t> </w:t>
      </w:r>
    </w:p>
    <w:p w:rsidR="00185535" w:rsidRDefault="00157BAA">
      <w:pPr>
        <w:spacing w:after="60"/>
        <w:jc w:val="right"/>
      </w:pPr>
      <w:r>
        <w:rPr>
          <w:sz w:val="22"/>
          <w:szCs w:val="22"/>
        </w:rPr>
        <w:t>Форма</w:t>
      </w:r>
    </w:p>
    <w:p w:rsidR="00185535" w:rsidRDefault="00157BAA">
      <w:pPr>
        <w:spacing w:before="240" w:after="240"/>
        <w:jc w:val="center"/>
      </w:pPr>
      <w:r>
        <w:rPr>
          <w:b/>
          <w:bCs/>
        </w:rPr>
        <w:t>ЗАЯВКА</w:t>
      </w:r>
      <w:r>
        <w:br/>
      </w:r>
      <w:r>
        <w:rPr>
          <w:b/>
          <w:bCs/>
        </w:rPr>
        <w:t>на участие в ежегодном городском конкурсе на лучшее новогоднее оформление города Могилева</w:t>
      </w:r>
    </w:p>
    <w:p w:rsidR="00185535" w:rsidRDefault="00157BAA">
      <w:pPr>
        <w:spacing w:after="60"/>
        <w:jc w:val="both"/>
      </w:pPr>
      <w:r>
        <w:t>____________________________________________________________________________,</w:t>
      </w:r>
    </w:p>
    <w:p w:rsidR="00185535" w:rsidRDefault="00157BAA">
      <w:pPr>
        <w:spacing w:after="0"/>
        <w:jc w:val="center"/>
      </w:pPr>
      <w:r>
        <w:rPr>
          <w:sz w:val="20"/>
          <w:szCs w:val="20"/>
        </w:rPr>
        <w:t>(наименование организации (в соответствии с уставными документами)</w:t>
      </w:r>
    </w:p>
    <w:p w:rsidR="00185535" w:rsidRDefault="00157BAA">
      <w:pPr>
        <w:spacing w:after="60"/>
        <w:jc w:val="both"/>
      </w:pPr>
      <w:r>
        <w:t>_____________________</w:t>
      </w:r>
      <w:r>
        <w:t>_______________________________________________________,</w:t>
      </w:r>
    </w:p>
    <w:p w:rsidR="00185535" w:rsidRDefault="00157BAA">
      <w:pPr>
        <w:spacing w:after="0"/>
        <w:jc w:val="center"/>
      </w:pPr>
      <w:r>
        <w:rPr>
          <w:sz w:val="20"/>
          <w:szCs w:val="20"/>
        </w:rPr>
        <w:t>(место нахождения организации)</w:t>
      </w:r>
    </w:p>
    <w:p w:rsidR="00185535" w:rsidRDefault="00157BAA">
      <w:pPr>
        <w:spacing w:after="60"/>
        <w:jc w:val="both"/>
      </w:pPr>
      <w:r>
        <w:t>заявляет об участии в ежегодном городском конкурсе на лучшее новогоднее оформление города Могилева.</w:t>
      </w:r>
    </w:p>
    <w:p w:rsidR="00185535" w:rsidRDefault="00157BAA">
      <w:pPr>
        <w:spacing w:after="60"/>
        <w:jc w:val="both"/>
      </w:pPr>
      <w:r>
        <w:t>Данные об объекте конкурса прилагаются на ___ листах.</w:t>
      </w:r>
    </w:p>
    <w:p w:rsidR="00185535" w:rsidRDefault="00157BAA">
      <w:pPr>
        <w:spacing w:after="60"/>
        <w:jc w:val="both"/>
      </w:pPr>
      <w:r>
        <w:t>Контактное лицо ______________________________________________________________</w:t>
      </w:r>
    </w:p>
    <w:p w:rsidR="00185535" w:rsidRDefault="00157BAA">
      <w:pPr>
        <w:spacing w:after="0"/>
        <w:ind w:left="1819"/>
        <w:jc w:val="center"/>
      </w:pPr>
      <w:r>
        <w:rPr>
          <w:sz w:val="20"/>
          <w:szCs w:val="20"/>
        </w:rPr>
        <w:t>(фамилия, имя, отчество*, телефон)</w:t>
      </w:r>
    </w:p>
    <w:p w:rsidR="00185535" w:rsidRDefault="00157BAA">
      <w:pPr>
        <w:spacing w:after="60"/>
        <w:jc w:val="both"/>
      </w:pPr>
      <w:r>
        <w:t>Руководитель организации _____________________________________________________</w:t>
      </w:r>
    </w:p>
    <w:p w:rsidR="00185535" w:rsidRDefault="00157BAA">
      <w:pPr>
        <w:spacing w:after="0"/>
        <w:ind w:left="2827"/>
        <w:jc w:val="center"/>
      </w:pPr>
      <w:r>
        <w:rPr>
          <w:sz w:val="20"/>
          <w:szCs w:val="20"/>
        </w:rPr>
        <w:t>(фамилия, имя, отчество*, телефон)</w:t>
      </w:r>
    </w:p>
    <w:p w:rsidR="00185535" w:rsidRDefault="00157BAA">
      <w:pPr>
        <w:spacing w:after="60"/>
        <w:jc w:val="both"/>
      </w:pPr>
      <w:r>
        <w:t>Банковские реквизиты** _______________________________________________________</w:t>
      </w:r>
    </w:p>
    <w:p w:rsidR="00185535" w:rsidRDefault="00157BAA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2047"/>
        <w:gridCol w:w="3151"/>
        <w:gridCol w:w="4461"/>
      </w:tblGrid>
      <w:tr w:rsidR="00185535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1059" w:type="pct"/>
            <w:vMerge w:val="restart"/>
          </w:tcPr>
          <w:p w:rsidR="00185535" w:rsidRDefault="00157BAA">
            <w:pPr>
              <w:spacing w:after="60"/>
              <w:jc w:val="both"/>
            </w:pPr>
            <w:r>
              <w:t>Руководитель</w:t>
            </w:r>
          </w:p>
        </w:tc>
        <w:tc>
          <w:tcPr>
            <w:tcW w:w="1631" w:type="pct"/>
            <w:vMerge w:val="restart"/>
          </w:tcPr>
          <w:p w:rsidR="00185535" w:rsidRDefault="00157BAA">
            <w:pPr>
              <w:spacing w:after="60"/>
              <w:jc w:val="both"/>
            </w:pPr>
            <w:r>
              <w:t>_______________</w:t>
            </w:r>
          </w:p>
        </w:tc>
        <w:tc>
          <w:tcPr>
            <w:tcW w:w="2309" w:type="pct"/>
            <w:vMerge w:val="restart"/>
          </w:tcPr>
          <w:p w:rsidR="00185535" w:rsidRDefault="00157BAA">
            <w:pPr>
              <w:spacing w:after="60"/>
              <w:jc w:val="both"/>
            </w:pPr>
            <w:r>
              <w:t>_______________________</w:t>
            </w:r>
          </w:p>
        </w:tc>
      </w:tr>
      <w:tr w:rsidR="00185535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1059" w:type="pct"/>
            <w:vMerge w:val="restart"/>
          </w:tcPr>
          <w:p w:rsidR="00185535" w:rsidRDefault="00157BAA">
            <w:pPr>
              <w:spacing w:after="60"/>
              <w:jc w:val="both"/>
            </w:pPr>
            <w:r>
              <w:t> </w:t>
            </w:r>
          </w:p>
        </w:tc>
        <w:tc>
          <w:tcPr>
            <w:tcW w:w="1631" w:type="pct"/>
            <w:vMerge w:val="restart"/>
          </w:tcPr>
          <w:p w:rsidR="00185535" w:rsidRDefault="00157BAA">
            <w:pPr>
              <w:spacing w:after="0"/>
              <w:ind w:left="463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309" w:type="pct"/>
            <w:vMerge w:val="restart"/>
          </w:tcPr>
          <w:p w:rsidR="00185535" w:rsidRDefault="00157BAA">
            <w:pPr>
              <w:spacing w:after="0"/>
              <w:ind w:left="620"/>
            </w:pPr>
            <w:r>
              <w:rPr>
                <w:sz w:val="20"/>
                <w:szCs w:val="20"/>
              </w:rPr>
              <w:t>(И.О*.Фамилия)</w:t>
            </w:r>
          </w:p>
        </w:tc>
      </w:tr>
      <w:tr w:rsidR="00185535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1059" w:type="pct"/>
            <w:vMerge w:val="restart"/>
          </w:tcPr>
          <w:p w:rsidR="00185535" w:rsidRDefault="00157BAA">
            <w:pPr>
              <w:spacing w:after="60"/>
              <w:jc w:val="both"/>
            </w:pPr>
            <w:r>
              <w:t> </w:t>
            </w:r>
          </w:p>
        </w:tc>
        <w:tc>
          <w:tcPr>
            <w:tcW w:w="1631" w:type="pct"/>
            <w:vMerge w:val="restart"/>
          </w:tcPr>
          <w:p w:rsidR="00185535" w:rsidRDefault="00157BAA">
            <w:pPr>
              <w:spacing w:after="60"/>
              <w:ind w:left="584"/>
              <w:jc w:val="both"/>
            </w:pPr>
            <w:r>
              <w:t>М.П. (при наличии)</w:t>
            </w:r>
          </w:p>
        </w:tc>
        <w:tc>
          <w:tcPr>
            <w:tcW w:w="2309" w:type="pct"/>
            <w:vMerge w:val="restart"/>
          </w:tcPr>
          <w:p w:rsidR="00185535" w:rsidRDefault="00157BAA">
            <w:pPr>
              <w:spacing w:after="60"/>
              <w:jc w:val="both"/>
            </w:pPr>
            <w:r>
              <w:t> </w:t>
            </w:r>
          </w:p>
        </w:tc>
      </w:tr>
    </w:tbl>
    <w:p w:rsidR="00185535" w:rsidRDefault="00157BAA">
      <w:pPr>
        <w:spacing w:after="60"/>
        <w:ind w:firstLine="566"/>
        <w:jc w:val="both"/>
      </w:pPr>
      <w:r>
        <w:t> </w:t>
      </w:r>
    </w:p>
    <w:p w:rsidR="00185535" w:rsidRDefault="00157BAA">
      <w:pPr>
        <w:spacing w:after="60"/>
        <w:jc w:val="both"/>
      </w:pPr>
      <w:r>
        <w:t>__________________</w:t>
      </w:r>
    </w:p>
    <w:p w:rsidR="00185535" w:rsidRDefault="00157BAA">
      <w:pPr>
        <w:spacing w:after="0"/>
        <w:ind w:left="881"/>
      </w:pPr>
      <w:r>
        <w:rPr>
          <w:sz w:val="20"/>
          <w:szCs w:val="20"/>
        </w:rPr>
        <w:t>(дата)</w:t>
      </w:r>
    </w:p>
    <w:p w:rsidR="00185535" w:rsidRDefault="00157BA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5535" w:rsidRDefault="00157BAA">
      <w:pPr>
        <w:spacing w:after="60"/>
        <w:ind w:firstLine="566"/>
        <w:jc w:val="both"/>
      </w:pPr>
      <w:r>
        <w:rPr>
          <w:sz w:val="20"/>
          <w:szCs w:val="20"/>
        </w:rPr>
        <w:t>* Если таковое имеется.</w:t>
      </w:r>
    </w:p>
    <w:p w:rsidR="00185535" w:rsidRDefault="00157BAA">
      <w:pPr>
        <w:spacing w:after="240"/>
        <w:ind w:firstLine="566"/>
        <w:jc w:val="both"/>
      </w:pPr>
      <w:r>
        <w:rPr>
          <w:sz w:val="20"/>
          <w:szCs w:val="20"/>
        </w:rPr>
        <w:t>** Строка, обязательная для заполнения.</w:t>
      </w:r>
    </w:p>
    <w:p w:rsidR="00185535" w:rsidRDefault="00157BAA">
      <w:pPr>
        <w:spacing w:after="60"/>
        <w:ind w:firstLine="566"/>
        <w:jc w:val="both"/>
      </w:pPr>
      <w:r>
        <w:t> </w:t>
      </w:r>
    </w:p>
    <w:sectPr w:rsidR="00185535" w:rsidSect="0018553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185535"/>
    <w:rsid w:val="00157BAA"/>
    <w:rsid w:val="0018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1855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Policuk_EM</dc:creator>
  <cp:lastModifiedBy>Policuk_EM</cp:lastModifiedBy>
  <cp:revision>2</cp:revision>
  <dcterms:created xsi:type="dcterms:W3CDTF">2026-01-06T07:06:00Z</dcterms:created>
  <dcterms:modified xsi:type="dcterms:W3CDTF">2026-01-06T07:06:00Z</dcterms:modified>
</cp:coreProperties>
</file>